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14FF" w14:textId="3B7A055D"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bookmarkStart w:id="0" w:name="_GoBack"/>
      <w:bookmarkEnd w:id="0"/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14:paraId="5C8331AE" w14:textId="77777777"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447C0E60" w14:textId="35092916"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14:paraId="7F5B4C8F" w14:textId="77777777"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14:paraId="368A75AB" w14:textId="77777777"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95AC8A6" w14:textId="34261BE6"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14:paraId="7B8EA79A" w14:textId="77777777"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14:paraId="4DBDC8B6" w14:textId="73616C8F"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2024A229" w14:textId="77777777"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7648758" w14:textId="17C3040A"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2F7EAE27" w14:textId="77777777"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30A93B" w14:textId="77777777"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007DDB" w14:textId="3D38C029"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3EE91380" w14:textId="77777777"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0E9DE048" w14:textId="78527FD5"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14:paraId="59B1E845" w14:textId="77777777"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19288F29" w14:textId="29EBE2B0"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046644F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F25C5B3" w14:textId="6F289EF0" w:rsidR="00DC5491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trybie ustawy o dostępie do informacji publicznej </w:t>
      </w:r>
    </w:p>
    <w:p w14:paraId="4408E78B" w14:textId="7CA7AC0E" w:rsidR="006A4342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i odrębna </w:t>
      </w:r>
      <w:r w:rsidR="006A4342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Petycja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- 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jednym piśmie </w:t>
      </w:r>
      <w:r w:rsidR="00EE36F9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– na mocy art. 61 i 63 Konstytucji RP</w:t>
      </w:r>
    </w:p>
    <w:p w14:paraId="70F0EEA8" w14:textId="6270813C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111ABBE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21871D75" w14:textId="77777777"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2D86EE48" w14:textId="532C887E" w:rsidR="006A4342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>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C700697" w14:textId="137E4A1E" w:rsidR="008517A5" w:rsidRPr="009B466B" w:rsidRDefault="00D60BA7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>p</w:t>
      </w:r>
      <w:r w:rsidR="006A4342" w:rsidRPr="009B466B">
        <w:rPr>
          <w:rFonts w:ascii="Book Antiqua" w:hAnsi="Book Antiqua" w:cs="Lato"/>
          <w:sz w:val="22"/>
          <w:szCs w:val="22"/>
        </w:rPr>
        <w:t>rzekazując na państwa ręce niniejszą petycję, pragnę zwrócić uwagę</w:t>
      </w:r>
      <w:r w:rsidRPr="009B466B">
        <w:rPr>
          <w:rFonts w:ascii="Book Antiqua" w:hAnsi="Book Antiqua" w:cs="Lato"/>
          <w:sz w:val="22"/>
          <w:szCs w:val="22"/>
        </w:rPr>
        <w:t xml:space="preserve"> na zagadnienie transformacji cyfrowej obrotu jak zachodzi w całej gospodarce. Pragnę przy tym wskazać,</w:t>
      </w:r>
      <w:r w:rsidR="006A4342" w:rsidRPr="009B466B">
        <w:rPr>
          <w:rFonts w:ascii="Book Antiqua" w:hAnsi="Book Antiqua" w:cs="Lato"/>
          <w:sz w:val="22"/>
          <w:szCs w:val="22"/>
        </w:rPr>
        <w:t xml:space="preserve"> że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A4342" w:rsidRPr="009B466B">
        <w:rPr>
          <w:rFonts w:ascii="Book Antiqua" w:hAnsi="Book Antiqua" w:cs="Lato"/>
          <w:sz w:val="22"/>
          <w:szCs w:val="22"/>
        </w:rPr>
        <w:t>w</w:t>
      </w:r>
      <w:r w:rsidR="006D7DF4" w:rsidRPr="009B466B">
        <w:rPr>
          <w:rFonts w:ascii="Book Antiqua" w:hAnsi="Book Antiqua" w:cs="Lato"/>
          <w:sz w:val="22"/>
          <w:szCs w:val="22"/>
        </w:rPr>
        <w:t>artość obrotu gotówkowego w Polsce wynosi ponad 200 mld PLN</w:t>
      </w:r>
      <w:r w:rsidR="003C7C00" w:rsidRPr="009B466B">
        <w:rPr>
          <w:rFonts w:ascii="Book Antiqua" w:hAnsi="Book Antiqua" w:cs="Lato"/>
          <w:sz w:val="22"/>
          <w:szCs w:val="22"/>
        </w:rPr>
        <w:t>,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a jego utrzymywanie to koszt około 1% PKB, czyli wartość jaka rocznie ponoszona jest przez państwo na badania i</w:t>
      </w:r>
      <w:r w:rsidR="005542A6" w:rsidRPr="009B466B">
        <w:rPr>
          <w:rFonts w:ascii="Book Antiqua" w:hAnsi="Book Antiqua" w:cs="Lato"/>
          <w:sz w:val="22"/>
          <w:szCs w:val="22"/>
        </w:rPr>
        <w:t> </w:t>
      </w:r>
      <w:r w:rsidR="006D7DF4" w:rsidRPr="009B466B">
        <w:rPr>
          <w:rFonts w:ascii="Book Antiqua" w:hAnsi="Book Antiqua" w:cs="Lato"/>
          <w:sz w:val="22"/>
          <w:szCs w:val="22"/>
        </w:rPr>
        <w:t xml:space="preserve">rozwój. </w:t>
      </w:r>
      <w:r w:rsidR="006A4342" w:rsidRPr="009B466B">
        <w:rPr>
          <w:rFonts w:ascii="Book Antiqua" w:hAnsi="Book Antiqua" w:cs="Lato"/>
          <w:sz w:val="22"/>
          <w:szCs w:val="22"/>
        </w:rPr>
        <w:t>Ponadto środki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pieni</w:t>
      </w:r>
      <w:r w:rsidR="006A4342" w:rsidRPr="009B466B">
        <w:rPr>
          <w:rFonts w:ascii="Book Antiqua" w:hAnsi="Book Antiqua" w:cs="Lato"/>
          <w:sz w:val="22"/>
          <w:szCs w:val="22"/>
        </w:rPr>
        <w:t>ężne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trzymane w </w:t>
      </w:r>
      <w:r w:rsidR="006A4342" w:rsidRPr="009B466B">
        <w:rPr>
          <w:rFonts w:ascii="Book Antiqua" w:hAnsi="Book Antiqua" w:cs="Lato"/>
          <w:sz w:val="22"/>
          <w:szCs w:val="22"/>
        </w:rPr>
        <w:t xml:space="preserve">formie </w:t>
      </w:r>
      <w:r w:rsidR="006D7DF4" w:rsidRPr="009B466B">
        <w:rPr>
          <w:rFonts w:ascii="Book Antiqua" w:hAnsi="Book Antiqua" w:cs="Lato"/>
          <w:sz w:val="22"/>
          <w:szCs w:val="22"/>
        </w:rPr>
        <w:t>gotów</w:t>
      </w:r>
      <w:r w:rsidR="006A4342" w:rsidRPr="009B466B">
        <w:rPr>
          <w:rFonts w:ascii="Book Antiqua" w:hAnsi="Book Antiqua" w:cs="Lato"/>
          <w:sz w:val="22"/>
          <w:szCs w:val="22"/>
        </w:rPr>
        <w:t>kowej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nie procentują, realnie tracą</w:t>
      </w:r>
      <w:r w:rsidR="006A4342" w:rsidRPr="009B466B">
        <w:rPr>
          <w:rFonts w:ascii="Book Antiqua" w:hAnsi="Book Antiqua" w:cs="Lato"/>
          <w:sz w:val="22"/>
          <w:szCs w:val="22"/>
        </w:rPr>
        <w:t>c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na wartości ze względu na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>inflację.</w:t>
      </w:r>
      <w:r w:rsidR="00C20BDF"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8517A5" w:rsidRPr="009B466B">
        <w:rPr>
          <w:rFonts w:ascii="Book Antiqua" w:hAnsi="Book Antiqua" w:cs="Lato"/>
          <w:sz w:val="22"/>
          <w:szCs w:val="22"/>
        </w:rPr>
        <w:t xml:space="preserve"> </w:t>
      </w:r>
    </w:p>
    <w:p w14:paraId="60B99ECD" w14:textId="02162198" w:rsidR="006D7DF4" w:rsidRPr="009B466B" w:rsidRDefault="00EF58B3" w:rsidP="006A4342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</w:t>
      </w:r>
      <w:r w:rsidR="00D60BA7" w:rsidRPr="009B466B">
        <w:rPr>
          <w:rFonts w:ascii="Book Antiqua" w:hAnsi="Book Antiqua" w:cs="Lato"/>
          <w:bCs/>
          <w:sz w:val="22"/>
          <w:szCs w:val="22"/>
        </w:rPr>
        <w:t xml:space="preserve"> p</w:t>
      </w:r>
      <w:r w:rsidR="008517A5" w:rsidRPr="009B466B">
        <w:rPr>
          <w:rFonts w:ascii="Book Antiqua" w:hAnsi="Book Antiqua" w:cs="Lato"/>
          <w:bCs/>
          <w:sz w:val="22"/>
          <w:szCs w:val="22"/>
        </w:rPr>
        <w:t>łatności bezgotówkowe to szereg korzyści w funkcjonowaniu instytucji administracji publicznej. Ułatwiają proces składania wniosków i zapytań od obywateli</w:t>
      </w:r>
      <w:r w:rsidR="005542A6" w:rsidRPr="009B466B">
        <w:rPr>
          <w:rFonts w:ascii="Book Antiqua" w:hAnsi="Book Antiqua" w:cs="Lato"/>
          <w:bCs/>
          <w:sz w:val="22"/>
          <w:szCs w:val="22"/>
        </w:rPr>
        <w:t xml:space="preserve"> oraz procedurę poboru opłat skarbowych i administracyjnych. 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Dlatego warto promować obrót bezgotówkowy, </w:t>
      </w:r>
      <w:r w:rsidR="00D60BA7" w:rsidRPr="009B466B">
        <w:rPr>
          <w:rFonts w:ascii="Book Antiqua" w:hAnsi="Book Antiqua" w:cs="Lato"/>
          <w:bCs/>
          <w:sz w:val="22"/>
          <w:szCs w:val="22"/>
        </w:rPr>
        <w:t>jako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 korzystny </w:t>
      </w:r>
      <w:r w:rsidR="00E93021" w:rsidRPr="009B466B">
        <w:rPr>
          <w:rFonts w:ascii="Book Antiqua" w:hAnsi="Book Antiqua" w:cs="Lato"/>
          <w:bCs/>
          <w:sz w:val="22"/>
          <w:szCs w:val="22"/>
        </w:rPr>
        <w:t>zarówno dla obywateli, jak i instytucji samorządowych</w:t>
      </w:r>
      <w:r w:rsidR="00C124CC" w:rsidRPr="009B466B">
        <w:rPr>
          <w:rFonts w:ascii="Book Antiqua" w:hAnsi="Book Antiqua" w:cs="Lato"/>
          <w:bCs/>
          <w:sz w:val="22"/>
          <w:szCs w:val="22"/>
        </w:rPr>
        <w:t>.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C124CC" w:rsidRPr="009B466B">
        <w:rPr>
          <w:rFonts w:ascii="Book Antiqua" w:hAnsi="Book Antiqua" w:cs="Lato"/>
          <w:sz w:val="22"/>
          <w:szCs w:val="22"/>
        </w:rPr>
        <w:lastRenderedPageBreak/>
        <w:t xml:space="preserve">Wprowadzenie płatności bezgotówkowych wpływa na nowoczesny wizerunek </w:t>
      </w:r>
      <w:r w:rsidR="00C20BDF" w:rsidRPr="009B466B">
        <w:rPr>
          <w:rFonts w:ascii="Book Antiqua" w:hAnsi="Book Antiqua" w:cs="Lato"/>
          <w:sz w:val="22"/>
          <w:szCs w:val="22"/>
        </w:rPr>
        <w:t>instytucji publicznych</w:t>
      </w:r>
      <w:r w:rsidR="00C124CC" w:rsidRPr="009B466B">
        <w:rPr>
          <w:rFonts w:ascii="Book Antiqua" w:hAnsi="Book Antiqua" w:cs="Lato"/>
          <w:sz w:val="22"/>
          <w:szCs w:val="22"/>
        </w:rPr>
        <w:t xml:space="preserve">. Mieszkańcy </w:t>
      </w:r>
      <w:r w:rsidR="00C20BDF" w:rsidRPr="009B466B">
        <w:rPr>
          <w:rFonts w:ascii="Book Antiqua" w:hAnsi="Book Antiqua" w:cs="Lato"/>
          <w:sz w:val="22"/>
          <w:szCs w:val="22"/>
        </w:rPr>
        <w:t xml:space="preserve">na co dzień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płacący kartą chcą mieć taką możliwość również w urzędach i innych </w:t>
      </w:r>
      <w:r w:rsidR="00C20BDF" w:rsidRPr="009B466B">
        <w:rPr>
          <w:rFonts w:ascii="Book Antiqua" w:hAnsi="Book Antiqua" w:cs="Lato"/>
          <w:sz w:val="22"/>
          <w:szCs w:val="22"/>
        </w:rPr>
        <w:t>jednostkach administracji centralnej i samorządowej</w:t>
      </w:r>
      <w:r w:rsidR="00C124CC" w:rsidRPr="009B466B">
        <w:rPr>
          <w:rFonts w:ascii="Book Antiqua" w:hAnsi="Book Antiqua" w:cs="Lato"/>
          <w:sz w:val="22"/>
          <w:szCs w:val="22"/>
        </w:rPr>
        <w:t>.</w:t>
      </w:r>
    </w:p>
    <w:p w14:paraId="4C0E1768" w14:textId="5AC850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="00C20BDF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53A4D110" w14:textId="02CE94A5" w:rsidR="00C20BDF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wyniku porozumienia zawartego przez Minist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ra Rozwoju i Finansów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Zwi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zek </w:t>
      </w:r>
      <w:r w:rsidR="006875F3" w:rsidRPr="009B466B">
        <w:rPr>
          <w:rFonts w:ascii="Book Antiqua" w:eastAsia="Times New Roman" w:hAnsi="Book Antiqua"/>
          <w:sz w:val="22"/>
          <w:szCs w:val="22"/>
          <w:lang w:val="pl-PL"/>
        </w:rPr>
        <w:t>B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anków Polskich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Visa Europe oraz Mastercard Europe w sprawie realizacji Programu Wsparcia Obrotu Bezgotówkowego w Polsce.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Program pozwala na otrzymanie bezpłatnego terminala</w:t>
      </w:r>
      <w:r w:rsidR="006D5F84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(wraz z pokryciem kosztów transakcji)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dla wybranych instytucji publicznych do </w:t>
      </w:r>
      <w:r w:rsidR="008315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sierpnia 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2021 roku.</w:t>
      </w:r>
    </w:p>
    <w:p w14:paraId="74F53C4F" w14:textId="784DD234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F17994F" w14:textId="67131FD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Mamy nadzieję, że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jednostki samorządu terytorialnego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działając bona fides - biorąc pod uwagę powyższe argumenty - potraktują naszą petycję z należną atencją - i wdrożą odpowiednie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działania celem zapewnienia powszechności akceptacji płatności bezgotówkowych,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dzięki którym osiągnięte zostaną kolejne cele związane z uszczelnieniem systemu poboru podatków.</w:t>
      </w:r>
    </w:p>
    <w:p w14:paraId="47615A38" w14:textId="76D909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–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mikro na poziomie samych jednostek samorządu terytorialnego </w:t>
      </w:r>
      <w:r w:rsidR="00EA058C"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="00EA058C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8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1 Ustawy o petycjach (Dz.U.2018.870 t.j.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1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A24E34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2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04A6A092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5F919744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42634F88" w14:textId="77777777"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r>
        <w:rPr>
          <w:rFonts w:ascii="Book Antiqua" w:hAnsi="Book Antiqua"/>
          <w:color w:val="262626"/>
          <w:sz w:val="22"/>
          <w:szCs w:val="22"/>
          <w:lang w:val="pl-PL"/>
        </w:rPr>
        <w:br w:type="page"/>
      </w:r>
    </w:p>
    <w:p w14:paraId="6F64EBE9" w14:textId="54BD5939"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/MOK/GOK/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CKSiR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</w:t>
      </w:r>
      <w:proofErr w:type="spellStart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>etc</w:t>
      </w:r>
      <w:proofErr w:type="spellEnd"/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proofErr w:type="spellStart"/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</w:t>
      </w:r>
      <w:proofErr w:type="spellEnd"/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14:paraId="03D4505C" w14:textId="1F9365D4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, </w:t>
      </w:r>
      <w:proofErr w:type="spellStart"/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etc</w:t>
      </w:r>
      <w:proofErr w:type="spellEnd"/>
      <w:r w:rsidR="002F7EA9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14:paraId="031B8C14" w14:textId="77777777"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14:paraId="19CC17B6" w14:textId="5C078009"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Dane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t.j. z dnia 2018.05.29) </w:t>
      </w:r>
    </w:p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2B2B641D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3AAC7B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723CF41A" w14:textId="4792A3D1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76D6E13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14:paraId="2C24A6A5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14:paraId="1519D652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1B3FBB1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14:paraId="76FA31A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74EF57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14:paraId="2B2C6399" w14:textId="662F2FFE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0F5BE6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4E9706E8" w14:textId="591A6DD0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14:paraId="12F0CBAC" w14:textId="3B51117E"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="000B6841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3AC253B6" w14:textId="77777777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– </w:t>
      </w:r>
      <w:r w:rsidRPr="009B466B">
        <w:rPr>
          <w:rFonts w:ascii="Book Antiqua" w:eastAsia="Times New Roman" w:hAnsi="Book Antiqua"/>
          <w:b/>
          <w:bCs/>
        </w:rPr>
        <w:t>czy i 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14:paraId="4C1238DF" w14:textId="51AE3D72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14:paraId="721C8EFC" w14:textId="542AE995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4CA660CB" w14:textId="4CFAEB2B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</w:t>
      </w:r>
      <w:proofErr w:type="spellStart"/>
      <w:r w:rsidRPr="009B466B">
        <w:rPr>
          <w:rFonts w:ascii="Book Antiqua" w:eastAsia="Times New Roman" w:hAnsi="Book Antiqua"/>
        </w:rPr>
        <w:t>pln</w:t>
      </w:r>
      <w:proofErr w:type="spellEnd"/>
      <w:r w:rsidRPr="009B466B">
        <w:rPr>
          <w:rFonts w:ascii="Book Antiqua" w:eastAsia="Times New Roman" w:hAnsi="Book Antiqua"/>
        </w:rPr>
        <w:t xml:space="preserve"> )</w:t>
      </w:r>
    </w:p>
    <w:p w14:paraId="25DC2058" w14:textId="6D357A7D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08D18638" w14:textId="723B828A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0B6841">
        <w:rPr>
          <w:rFonts w:ascii="Book Antiqua" w:eastAsia="Times New Roman" w:hAnsi="Book Antiqua"/>
        </w:rPr>
        <w:t xml:space="preserve"> 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  <w:r w:rsidRPr="009B466B">
        <w:rPr>
          <w:rFonts w:ascii="Book Antiqua" w:eastAsia="Times New Roman" w:hAnsi="Book Antiqua"/>
        </w:rPr>
        <w:t xml:space="preserve"> </w:t>
      </w: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2C9B3956" w14:textId="79736746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59F3745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241E0916" w14:textId="6F94B2BB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13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4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t.j.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0772D5C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5B7EF007" w14:textId="77777777"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A24E34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8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9"/>
      <w:footerReference w:type="default" r:id="rId2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5319" w14:textId="77777777" w:rsidR="00A24E34" w:rsidRDefault="00A24E34" w:rsidP="00F005CF">
      <w:r>
        <w:separator/>
      </w:r>
    </w:p>
  </w:endnote>
  <w:endnote w:type="continuationSeparator" w:id="0">
    <w:p w14:paraId="238D6D1B" w14:textId="77777777" w:rsidR="00A24E34" w:rsidRDefault="00A24E34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E3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B27E" w14:textId="77777777" w:rsidR="00A24E34" w:rsidRDefault="00A24E34" w:rsidP="00F005CF">
      <w:r>
        <w:separator/>
      </w:r>
    </w:p>
  </w:footnote>
  <w:footnote w:type="continuationSeparator" w:id="0">
    <w:p w14:paraId="15B78B78" w14:textId="77777777" w:rsidR="00A24E34" w:rsidRDefault="00A24E34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32D6" w14:textId="77777777" w:rsidR="00120147" w:rsidRDefault="0012014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6D"/>
    <w:rsid w:val="00013029"/>
    <w:rsid w:val="00024ED0"/>
    <w:rsid w:val="00024EEE"/>
    <w:rsid w:val="00045684"/>
    <w:rsid w:val="00062F8D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06724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24E34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40931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  <w15:docId w15:val="{871E5F86-C04F-4564-8ABD-2082DAC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13" Type="http://schemas.openxmlformats.org/officeDocument/2006/relationships/hyperlink" Target="http://www.frob.pl" TargetMode="External"/><Relationship Id="rId18" Type="http://schemas.openxmlformats.org/officeDocument/2006/relationships/hyperlink" Target="http://www.frob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rob.pl" TargetMode="External"/><Relationship Id="rId17" Type="http://schemas.openxmlformats.org/officeDocument/2006/relationships/hyperlink" Target="mailto:poczta@fro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zta@frob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frob.pl" TargetMode="External"/><Relationship Id="rId10" Type="http://schemas.openxmlformats.org/officeDocument/2006/relationships/hyperlink" Target="mailto:poczta@frob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mailto:poczta@frob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9BFB-7817-4A6E-9105-6FB994D7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2815</Words>
  <Characters>16890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Małgorzata</cp:lastModifiedBy>
  <cp:revision>2</cp:revision>
  <cp:lastPrinted>2019-08-08T10:22:00Z</cp:lastPrinted>
  <dcterms:created xsi:type="dcterms:W3CDTF">2019-10-24T06:09:00Z</dcterms:created>
  <dcterms:modified xsi:type="dcterms:W3CDTF">2019-10-24T06:09:00Z</dcterms:modified>
</cp:coreProperties>
</file>